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1FF53" w14:textId="77777777" w:rsidR="007B52F9" w:rsidRDefault="007B52F9"/>
    <w:p w14:paraId="122FB9F4" w14:textId="731BE2D0" w:rsidR="00152799" w:rsidRPr="0040369F" w:rsidRDefault="0040369F" w:rsidP="00A060FA">
      <w:pPr>
        <w:pStyle w:val="Titre1"/>
      </w:pPr>
      <w:r>
        <w:t xml:space="preserve">CLAUSES TYPES POUR </w:t>
      </w:r>
      <w:r w:rsidR="00A060FA">
        <w:t>E</w:t>
      </w:r>
      <w:r>
        <w:t>XIGENCES ADVENIR INFRASTRUCTURE COLLECTIVE</w:t>
      </w:r>
    </w:p>
    <w:p w14:paraId="30F6576F" w14:textId="001E1F28" w:rsidR="000647AE" w:rsidRDefault="000647AE" w:rsidP="00706454">
      <w:pPr>
        <w:pStyle w:val="Pieddepage"/>
        <w:jc w:val="center"/>
      </w:pPr>
      <w:bookmarkStart w:id="0" w:name="_Hlk70341269"/>
      <w:bookmarkStart w:id="1" w:name="_Hlk70341270"/>
      <w:bookmarkStart w:id="2" w:name="_Hlk70341274"/>
      <w:bookmarkStart w:id="3" w:name="_Hlk70341275"/>
      <w:r>
        <w:t xml:space="preserve">Version </w:t>
      </w:r>
      <w:r w:rsidR="4C2DCEBB">
        <w:t>31</w:t>
      </w:r>
      <w:r>
        <w:t>/</w:t>
      </w:r>
      <w:r w:rsidR="36A4642D">
        <w:t>01</w:t>
      </w:r>
      <w:r>
        <w:t>/2</w:t>
      </w:r>
      <w:r w:rsidR="10A41920">
        <w:t>5</w:t>
      </w:r>
      <w:bookmarkEnd w:id="0"/>
      <w:bookmarkEnd w:id="1"/>
      <w:bookmarkEnd w:id="2"/>
      <w:bookmarkEnd w:id="3"/>
    </w:p>
    <w:p w14:paraId="4971E1F5" w14:textId="77777777" w:rsidR="000647AE" w:rsidRPr="000647AE" w:rsidRDefault="000647AE" w:rsidP="000647AE">
      <w:pPr>
        <w:pStyle w:val="Pieddepage"/>
        <w:jc w:val="right"/>
      </w:pPr>
    </w:p>
    <w:p w14:paraId="56670235" w14:textId="08E4B7F5" w:rsidR="00152799" w:rsidRPr="00706454" w:rsidRDefault="00152799" w:rsidP="00706454">
      <w:pPr>
        <w:pStyle w:val="Titre2"/>
      </w:pPr>
      <w:r w:rsidRPr="00706454">
        <w:t>Rappel sur le fonctionnement d’Advenir :</w:t>
      </w:r>
    </w:p>
    <w:p w14:paraId="6A3A2E75" w14:textId="27AE94BA" w:rsidR="00152799" w:rsidRDefault="00152799" w:rsidP="00152799">
      <w:pPr>
        <w:spacing w:before="120"/>
        <w:ind w:firstLine="708"/>
      </w:pPr>
      <w:r>
        <w:t>Conformément au processus de fonctionnement général d’Advenir, toutes les demandes de prime « Infrastructure collective » devront faire l’objet d’une validation par l’équipe Advenir préalable à t</w:t>
      </w:r>
      <w:r w:rsidR="34283AE1">
        <w:t>ous</w:t>
      </w:r>
      <w:r>
        <w:t xml:space="preserve"> travaux.</w:t>
      </w:r>
    </w:p>
    <w:p w14:paraId="39023D96" w14:textId="53D50830" w:rsidR="0C68F3B4" w:rsidRDefault="0C68F3B4" w:rsidP="198E3F9C">
      <w:pPr>
        <w:spacing w:before="120"/>
        <w:ind w:firstLine="708"/>
      </w:pPr>
      <w:r w:rsidRPr="198E3F9C">
        <w:rPr>
          <w:rFonts w:ascii="Calibri" w:eastAsia="Calibri" w:hAnsi="Calibri" w:cs="Calibri"/>
        </w:rPr>
        <w:t>Tout porteur d’offre doit disposer d’une offre commerciale infrastructure collective labellisée par le programme afin de pouvoir soumettre des demandes de prime au programme.</w:t>
      </w:r>
    </w:p>
    <w:p w14:paraId="551521C8" w14:textId="7D46A04E" w:rsidR="00152799" w:rsidRDefault="00152799" w:rsidP="00152799">
      <w:pPr>
        <w:spacing w:before="120"/>
        <w:ind w:firstLine="708"/>
      </w:pPr>
      <w:r>
        <w:t>Cette validation prend la forme d’une offre de prime qui sera soumise au soumissionnaire et devra être retournée signée sous un délai d’un mois sous peine d’annulation.</w:t>
      </w:r>
    </w:p>
    <w:p w14:paraId="3FD8868F" w14:textId="70AEEB72" w:rsidR="005C7520" w:rsidRDefault="005C7520" w:rsidP="00152799">
      <w:pPr>
        <w:spacing w:before="120"/>
        <w:ind w:firstLine="708"/>
      </w:pPr>
      <w:r>
        <w:t>Les dossiers dont les travaux auront été réalisés avant d’être formellement validés ne pourront faire l’objet d’une subvention.</w:t>
      </w:r>
    </w:p>
    <w:p w14:paraId="485DAF9E" w14:textId="03BB2E12" w:rsidR="005C7520" w:rsidRDefault="005C7520" w:rsidP="00152799">
      <w:pPr>
        <w:spacing w:before="120"/>
        <w:ind w:firstLine="708"/>
      </w:pPr>
      <w:r>
        <w:t xml:space="preserve">Les dossiers de demande de prime « Infrastructure collective » sont valables 9 mois à compter de la signature de l’offre de prime. Si au terme de cette durée, les travaux d’installation ne sont pas terminés et l’ensemble des justificatifs n’ont pas été transmis via la plateforme </w:t>
      </w:r>
      <w:proofErr w:type="gramStart"/>
      <w:r>
        <w:t>mon.advenir</w:t>
      </w:r>
      <w:proofErr w:type="gramEnd"/>
      <w:r>
        <w:t xml:space="preserve">.mobi, les dossiers concernés seront automatiquement annulés et la prime définitivement perdue. </w:t>
      </w:r>
    </w:p>
    <w:p w14:paraId="7A7D15F4" w14:textId="4970BC91" w:rsidR="005C7520" w:rsidRDefault="005C7520" w:rsidP="00152799">
      <w:pPr>
        <w:spacing w:before="120"/>
        <w:ind w:firstLine="708"/>
      </w:pPr>
      <w:r>
        <w:t xml:space="preserve">En cas de difficultés, il est possible de faire une demande de prolongation qui doit impérativement être sollicitée avant l'annulation automatique du dossier à l’équipe support du programme en précisant le motif de la demande. </w:t>
      </w:r>
    </w:p>
    <w:p w14:paraId="5236AD54" w14:textId="6CB12282" w:rsidR="004623A8" w:rsidRDefault="004623A8" w:rsidP="00152799">
      <w:pPr>
        <w:spacing w:before="120"/>
        <w:ind w:firstLine="708"/>
      </w:pPr>
      <w:r>
        <w:t xml:space="preserve">Les </w:t>
      </w:r>
      <w:r w:rsidR="00685CE2">
        <w:t xml:space="preserve">infrastructures collectives installées dans le cadre des schémas 1, 2 et 3 doivent être </w:t>
      </w:r>
      <w:r w:rsidR="006B18DA">
        <w:t>accompagnées d’une convention entre l’opérateur d’infrastructure et l</w:t>
      </w:r>
      <w:r w:rsidR="333D6EFB">
        <w:t>e bénéficiaire (copropriété, bailleur social ou bailleur résidentiel en monopropriété)</w:t>
      </w:r>
      <w:r w:rsidR="006B18DA">
        <w:t>.</w:t>
      </w:r>
    </w:p>
    <w:p w14:paraId="78987C4C" w14:textId="62E12763" w:rsidR="00152799" w:rsidRDefault="005C7520" w:rsidP="00152799">
      <w:pPr>
        <w:spacing w:before="120"/>
      </w:pPr>
      <w:r>
        <w:t>Les pages suivantes vis</w:t>
      </w:r>
      <w:r w:rsidR="009C36F6">
        <w:t>e</w:t>
      </w:r>
      <w:r w:rsidR="43AD6319">
        <w:t>nt</w:t>
      </w:r>
      <w:r w:rsidR="009C36F6">
        <w:t xml:space="preserve"> à fournir aux porteurs de projet des formules types qui </w:t>
      </w:r>
      <w:proofErr w:type="gramStart"/>
      <w:r w:rsidR="009C36F6">
        <w:t>permettront</w:t>
      </w:r>
      <w:proofErr w:type="gramEnd"/>
      <w:r w:rsidR="009C36F6">
        <w:t xml:space="preserve"> de leur garantir </w:t>
      </w:r>
      <w:r w:rsidR="0061615D">
        <w:t>une compatibilité</w:t>
      </w:r>
      <w:r w:rsidR="00594D22">
        <w:t xml:space="preserve"> de leur convention avec les exigences du programme. Tout autre rédaction devra faire l’objet d’une validation par le programme avant acceptation.</w:t>
      </w:r>
      <w:r w:rsidR="009C36F6">
        <w:t xml:space="preserve"> </w:t>
      </w:r>
    </w:p>
    <w:p w14:paraId="592A6E71" w14:textId="7C309C59" w:rsidR="00152799" w:rsidRDefault="00152799" w:rsidP="00152799">
      <w:pPr>
        <w:spacing w:before="120"/>
      </w:pPr>
      <w:r>
        <w:t xml:space="preserve">Pour plus d’information sur le processus Advenir, rendez-vous sur les pages </w:t>
      </w:r>
      <w:hyperlink r:id="rId11">
        <w:r w:rsidRPr="55C44CF2">
          <w:rPr>
            <w:rStyle w:val="Lienhypertexte"/>
          </w:rPr>
          <w:t>programme Advenir</w:t>
        </w:r>
      </w:hyperlink>
      <w:r>
        <w:t xml:space="preserve"> et </w:t>
      </w:r>
      <w:hyperlink r:id="rId12">
        <w:r w:rsidRPr="55C44CF2">
          <w:rPr>
            <w:rStyle w:val="Lienhypertexte"/>
          </w:rPr>
          <w:t>Infrastructure collective en copropriété</w:t>
        </w:r>
      </w:hyperlink>
      <w:r>
        <w:t>.</w:t>
      </w:r>
    </w:p>
    <w:p w14:paraId="2BF6D694" w14:textId="62D5C672" w:rsidR="006B18DA" w:rsidRDefault="006B18DA">
      <w:pPr>
        <w:spacing w:after="160" w:line="259" w:lineRule="auto"/>
      </w:pPr>
      <w:r>
        <w:br w:type="page"/>
      </w:r>
    </w:p>
    <w:p w14:paraId="61E45B73" w14:textId="13F33255" w:rsidR="006B18DA" w:rsidRDefault="008E1648" w:rsidP="00706454">
      <w:pPr>
        <w:pStyle w:val="Titre2"/>
      </w:pPr>
      <w:r>
        <w:lastRenderedPageBreak/>
        <w:t>Clauses types :</w:t>
      </w:r>
    </w:p>
    <w:p w14:paraId="2C0CDA21" w14:textId="2F90799E" w:rsidR="006B18DA" w:rsidRPr="008469C7" w:rsidRDefault="006B18DA" w:rsidP="006B18DA">
      <w:pPr>
        <w:spacing w:before="120"/>
        <w:rPr>
          <w:i/>
          <w:iCs/>
        </w:rPr>
      </w:pPr>
      <w:r>
        <w:rPr>
          <w:i/>
          <w:iCs/>
        </w:rPr>
        <w:t xml:space="preserve">Exemples de rédaction de clauses permettant de </w:t>
      </w:r>
      <w:r w:rsidR="0028713E">
        <w:rPr>
          <w:i/>
          <w:iCs/>
        </w:rPr>
        <w:t>garantir une compatibilité avec</w:t>
      </w:r>
      <w:r>
        <w:rPr>
          <w:i/>
          <w:iCs/>
        </w:rPr>
        <w:t xml:space="preserve"> les exigences du cahier des charges Advenir</w:t>
      </w:r>
      <w:r w:rsidRPr="008469C7">
        <w:rPr>
          <w:i/>
          <w:iCs/>
        </w:rPr>
        <w:t> :</w:t>
      </w:r>
    </w:p>
    <w:p w14:paraId="0418FD62" w14:textId="51A3C68F" w:rsidR="006B18DA" w:rsidRPr="00DD6AF6" w:rsidRDefault="0028713E" w:rsidP="006B18DA">
      <w:pPr>
        <w:spacing w:before="120"/>
        <w:rPr>
          <w:i/>
          <w:iCs/>
        </w:rPr>
      </w:pPr>
      <w:r>
        <w:rPr>
          <w:i/>
          <w:iCs/>
        </w:rPr>
        <w:t xml:space="preserve">NB : </w:t>
      </w:r>
      <w:r w:rsidR="00DD6AF6" w:rsidRPr="00DD6AF6">
        <w:rPr>
          <w:i/>
          <w:iCs/>
        </w:rPr>
        <w:t xml:space="preserve">Les mentions en </w:t>
      </w:r>
      <w:r w:rsidR="00F77D25">
        <w:rPr>
          <w:i/>
          <w:iCs/>
        </w:rPr>
        <w:t>[</w:t>
      </w:r>
      <w:r w:rsidR="00F77D25" w:rsidRPr="00F77D25">
        <w:rPr>
          <w:i/>
          <w:iCs/>
          <w:highlight w:val="yellow"/>
        </w:rPr>
        <w:t>à compléter</w:t>
      </w:r>
      <w:r w:rsidR="00F77D25">
        <w:rPr>
          <w:i/>
          <w:iCs/>
        </w:rPr>
        <w:t>]</w:t>
      </w:r>
      <w:r w:rsidR="00DD6AF6" w:rsidRPr="00DD6AF6">
        <w:rPr>
          <w:i/>
          <w:iCs/>
        </w:rPr>
        <w:t xml:space="preserve"> sont à </w:t>
      </w:r>
      <w:r w:rsidR="00F77D25">
        <w:rPr>
          <w:i/>
          <w:iCs/>
        </w:rPr>
        <w:t>renseigner</w:t>
      </w:r>
      <w:r w:rsidR="00DD6AF6" w:rsidRPr="00DD6AF6">
        <w:rPr>
          <w:i/>
          <w:iCs/>
        </w:rPr>
        <w:t xml:space="preserve"> par l</w:t>
      </w:r>
      <w:r w:rsidR="00F77D25">
        <w:rPr>
          <w:i/>
          <w:iCs/>
        </w:rPr>
        <w:t>e demandeur</w:t>
      </w:r>
      <w:r w:rsidR="00DD6AF6" w:rsidRPr="00DD6AF6">
        <w:rPr>
          <w:i/>
          <w:iCs/>
        </w:rPr>
        <w:t>.</w:t>
      </w:r>
    </w:p>
    <w:p w14:paraId="64362B34" w14:textId="77777777" w:rsidR="00F71F82" w:rsidRDefault="00F71F82" w:rsidP="006B18DA">
      <w:pPr>
        <w:spacing w:before="120"/>
      </w:pPr>
    </w:p>
    <w:p w14:paraId="73AC10CD" w14:textId="77777777" w:rsidR="00EF2792" w:rsidRPr="00EF2792" w:rsidRDefault="00F71F82" w:rsidP="00F71F82">
      <w:pPr>
        <w:spacing w:before="120"/>
        <w:rPr>
          <w:b/>
          <w:bCs/>
          <w:u w:val="single"/>
        </w:rPr>
      </w:pPr>
      <w:r w:rsidRPr="00EF2792">
        <w:rPr>
          <w:b/>
          <w:bCs/>
          <w:u w:val="single"/>
        </w:rPr>
        <w:t>Durée de la convention :</w:t>
      </w:r>
    </w:p>
    <w:p w14:paraId="7A21DF07" w14:textId="65C9173A" w:rsidR="00F71F82" w:rsidRDefault="00EF2792" w:rsidP="00F71F82">
      <w:pPr>
        <w:spacing w:before="120"/>
        <w:rPr>
          <w:rFonts w:eastAsia="Times New Roman"/>
          <w:i/>
          <w:iCs/>
        </w:rPr>
      </w:pPr>
      <w:r w:rsidRPr="00EF2792">
        <w:rPr>
          <w:rFonts w:eastAsia="Times New Roman"/>
          <w:i/>
          <w:iCs/>
        </w:rPr>
        <w:t xml:space="preserve">« La présente convention est établie pour une durée de </w:t>
      </w:r>
      <w:r w:rsidR="00F77D25">
        <w:rPr>
          <w:i/>
          <w:iCs/>
        </w:rPr>
        <w:t>[</w:t>
      </w:r>
      <w:r w:rsidR="00F77D25" w:rsidRPr="00F77D25">
        <w:rPr>
          <w:i/>
          <w:iCs/>
          <w:highlight w:val="yellow"/>
        </w:rPr>
        <w:t>à compléter</w:t>
      </w:r>
      <w:r w:rsidR="00F77D25">
        <w:rPr>
          <w:i/>
          <w:iCs/>
        </w:rPr>
        <w:t>] à compter du [</w:t>
      </w:r>
      <w:r w:rsidR="00F77D25" w:rsidRPr="00F77D25">
        <w:rPr>
          <w:i/>
          <w:iCs/>
          <w:highlight w:val="yellow"/>
        </w:rPr>
        <w:t>à compléter</w:t>
      </w:r>
      <w:r w:rsidR="00F77D25">
        <w:rPr>
          <w:i/>
          <w:iCs/>
        </w:rPr>
        <w:t>]</w:t>
      </w:r>
      <w:r w:rsidRPr="00EF2792">
        <w:rPr>
          <w:rFonts w:eastAsia="Times New Roman"/>
          <w:i/>
          <w:iCs/>
        </w:rPr>
        <w:t> »</w:t>
      </w:r>
      <w:r w:rsidR="00823DC1">
        <w:rPr>
          <w:rFonts w:eastAsia="Times New Roman"/>
          <w:i/>
          <w:iCs/>
        </w:rPr>
        <w:t>.</w:t>
      </w:r>
    </w:p>
    <w:p w14:paraId="2C7F67B5" w14:textId="77777777" w:rsidR="0028713E" w:rsidRDefault="0028713E" w:rsidP="006B18DA">
      <w:pPr>
        <w:spacing w:before="120"/>
      </w:pPr>
    </w:p>
    <w:p w14:paraId="744F1DEC" w14:textId="4D90EFE0" w:rsidR="00F71F82" w:rsidRPr="00EF2792" w:rsidRDefault="00823DC1" w:rsidP="00F71F82">
      <w:pPr>
        <w:spacing w:before="120"/>
        <w:rPr>
          <w:b/>
          <w:bCs/>
          <w:u w:val="single"/>
        </w:rPr>
      </w:pPr>
      <w:r>
        <w:rPr>
          <w:b/>
          <w:bCs/>
          <w:u w:val="single"/>
        </w:rPr>
        <w:t>Durée de la garantie</w:t>
      </w:r>
      <w:r w:rsidR="00F71F82" w:rsidRPr="00EF2792">
        <w:rPr>
          <w:b/>
          <w:bCs/>
          <w:u w:val="single"/>
        </w:rPr>
        <w:t> :</w:t>
      </w:r>
    </w:p>
    <w:p w14:paraId="2603A148" w14:textId="004E1557" w:rsidR="00F71F82" w:rsidRPr="00F23E08" w:rsidRDefault="00F23E08" w:rsidP="006B18DA">
      <w:pPr>
        <w:spacing w:before="120"/>
        <w:rPr>
          <w:rFonts w:eastAsia="Times New Roman"/>
          <w:i/>
          <w:iCs/>
        </w:rPr>
      </w:pPr>
      <w:r w:rsidRPr="00F23E08">
        <w:rPr>
          <w:rFonts w:eastAsia="Times New Roman"/>
          <w:i/>
          <w:iCs/>
        </w:rPr>
        <w:t xml:space="preserve">« La totalité des équipements de l’infrastructure collective est garantie pendant une durée de </w:t>
      </w:r>
      <w:r w:rsidR="00F77D25">
        <w:rPr>
          <w:i/>
          <w:iCs/>
        </w:rPr>
        <w:t>[</w:t>
      </w:r>
      <w:r w:rsidR="00F77D25" w:rsidRPr="00F77D25">
        <w:rPr>
          <w:i/>
          <w:iCs/>
          <w:highlight w:val="yellow"/>
        </w:rPr>
        <w:t>à compléter</w:t>
      </w:r>
      <w:r w:rsidR="00F77D25">
        <w:rPr>
          <w:i/>
          <w:iCs/>
        </w:rPr>
        <w:t>] à compter du [</w:t>
      </w:r>
      <w:r w:rsidR="00F77D25" w:rsidRPr="00F77D25">
        <w:rPr>
          <w:i/>
          <w:iCs/>
          <w:highlight w:val="yellow"/>
        </w:rPr>
        <w:t>à compléter</w:t>
      </w:r>
      <w:r w:rsidR="00F77D25">
        <w:rPr>
          <w:i/>
          <w:iCs/>
        </w:rPr>
        <w:t>]</w:t>
      </w:r>
      <w:r w:rsidRPr="00F23E08">
        <w:rPr>
          <w:rFonts w:eastAsia="Times New Roman"/>
          <w:i/>
          <w:iCs/>
        </w:rPr>
        <w:t> »</w:t>
      </w:r>
      <w:r w:rsidR="00823DC1">
        <w:rPr>
          <w:rFonts w:eastAsia="Times New Roman"/>
          <w:i/>
          <w:iCs/>
        </w:rPr>
        <w:t>.</w:t>
      </w:r>
    </w:p>
    <w:p w14:paraId="2C6F4F9C" w14:textId="77777777" w:rsidR="00F23E08" w:rsidRDefault="00F23E08" w:rsidP="006B18DA">
      <w:pPr>
        <w:spacing w:before="120"/>
      </w:pPr>
    </w:p>
    <w:p w14:paraId="5118C3A5" w14:textId="77777777" w:rsidR="00F71F82" w:rsidRPr="00EF2792" w:rsidRDefault="00F71F82" w:rsidP="00F71F82">
      <w:pPr>
        <w:spacing w:before="120"/>
        <w:rPr>
          <w:b/>
          <w:bCs/>
          <w:u w:val="single"/>
        </w:rPr>
      </w:pPr>
      <w:r w:rsidRPr="00EF2792">
        <w:rPr>
          <w:b/>
          <w:bCs/>
          <w:u w:val="single"/>
        </w:rPr>
        <w:t>Non-discrimination :</w:t>
      </w:r>
    </w:p>
    <w:p w14:paraId="0C262737" w14:textId="503B77D2" w:rsidR="00F77D25" w:rsidRDefault="001C3D65" w:rsidP="198E3F9C">
      <w:pPr>
        <w:spacing w:before="120"/>
        <w:rPr>
          <w:rFonts w:eastAsia="Times New Roman"/>
          <w:i/>
          <w:iCs/>
        </w:rPr>
      </w:pPr>
      <w:r w:rsidRPr="198E3F9C">
        <w:rPr>
          <w:rFonts w:eastAsia="Times New Roman"/>
          <w:i/>
          <w:iCs/>
        </w:rPr>
        <w:t>Rappel de l’exigence :</w:t>
      </w:r>
      <w:r w:rsidR="00CD126C" w:rsidRPr="198E3F9C">
        <w:rPr>
          <w:rFonts w:eastAsia="Times New Roman"/>
          <w:i/>
          <w:iCs/>
        </w:rPr>
        <w:t xml:space="preserve"> </w:t>
      </w:r>
      <w:r w:rsidR="4241F11E">
        <w:t>L’opérateur, ou le GRD si la demande concerne le schéma 4, offre la possibilité à chaque utilisateur de pouvoir se raccorder sur l’infrastructure collective à des conditions définies et non discriminatoires.</w:t>
      </w:r>
    </w:p>
    <w:p w14:paraId="501F61A4" w14:textId="40A2395E" w:rsidR="00F77D25" w:rsidRDefault="00CD126C" w:rsidP="198E3F9C">
      <w:pPr>
        <w:spacing w:before="120"/>
        <w:rPr>
          <w:rFonts w:eastAsia="Times New Roman"/>
          <w:i/>
          <w:iCs/>
        </w:rPr>
      </w:pPr>
      <w:r w:rsidRPr="198E3F9C">
        <w:rPr>
          <w:rFonts w:eastAsia="Times New Roman"/>
          <w:i/>
          <w:iCs/>
        </w:rPr>
        <w:t>«</w:t>
      </w:r>
      <w:r w:rsidR="00823DC1" w:rsidRPr="198E3F9C">
        <w:rPr>
          <w:rFonts w:eastAsia="Times New Roman"/>
          <w:i/>
          <w:iCs/>
        </w:rPr>
        <w:t> </w:t>
      </w:r>
      <w:r w:rsidR="00BB0CFF">
        <w:t xml:space="preserve">L’opérateur </w:t>
      </w:r>
      <w:r w:rsidR="7BE30B05">
        <w:t xml:space="preserve">s’engage à offrir </w:t>
      </w:r>
      <w:r w:rsidR="00BB0CFF">
        <w:t>la possibilité à chaque utilisateur de pouvoir se raccorder sur l’infrastructure collective à des conditions définies et non discriminatoires</w:t>
      </w:r>
      <w:r w:rsidR="00554E0C">
        <w:t xml:space="preserve"> </w:t>
      </w:r>
      <w:r w:rsidR="00823DC1" w:rsidRPr="198E3F9C">
        <w:rPr>
          <w:rFonts w:eastAsia="Times New Roman"/>
          <w:i/>
          <w:iCs/>
        </w:rPr>
        <w:t>».</w:t>
      </w:r>
    </w:p>
    <w:p w14:paraId="0E74686B" w14:textId="59129DBD" w:rsidR="00823DC1" w:rsidRPr="00011821" w:rsidRDefault="00F77D25" w:rsidP="00011821">
      <w:pPr>
        <w:spacing w:before="120"/>
        <w:rPr>
          <w:rFonts w:eastAsia="Times New Roman"/>
          <w:i/>
          <w:iCs/>
        </w:rPr>
      </w:pPr>
      <w:r w:rsidRPr="00F77D25">
        <w:rPr>
          <w:rFonts w:eastAsia="Times New Roman"/>
          <w:i/>
          <w:iCs/>
        </w:rPr>
        <w:t>[</w:t>
      </w:r>
      <w:r w:rsidR="002A4769">
        <w:rPr>
          <w:rFonts w:eastAsia="Times New Roman"/>
          <w:i/>
          <w:iCs/>
          <w:highlight w:val="yellow"/>
        </w:rPr>
        <w:t>Les</w:t>
      </w:r>
      <w:r w:rsidR="00823DC1" w:rsidRPr="00011821">
        <w:rPr>
          <w:rFonts w:eastAsia="Times New Roman"/>
          <w:i/>
          <w:iCs/>
          <w:highlight w:val="yellow"/>
        </w:rPr>
        <w:t xml:space="preserve"> conditions techniques et tarifaires </w:t>
      </w:r>
      <w:r w:rsidR="00CD126C">
        <w:rPr>
          <w:rFonts w:eastAsia="Times New Roman"/>
          <w:i/>
          <w:iCs/>
          <w:highlight w:val="yellow"/>
        </w:rPr>
        <w:t xml:space="preserve">pour le raccordement </w:t>
      </w:r>
      <w:r w:rsidR="000109B9" w:rsidRPr="00011821">
        <w:rPr>
          <w:rFonts w:eastAsia="Times New Roman"/>
          <w:i/>
          <w:iCs/>
          <w:highlight w:val="yellow"/>
        </w:rPr>
        <w:t>devront</w:t>
      </w:r>
      <w:r w:rsidR="00823DC1" w:rsidRPr="00011821">
        <w:rPr>
          <w:rFonts w:eastAsia="Times New Roman"/>
          <w:i/>
          <w:iCs/>
          <w:highlight w:val="yellow"/>
        </w:rPr>
        <w:t xml:space="preserve"> apparaître dans la </w:t>
      </w:r>
      <w:r w:rsidR="00823DC1" w:rsidRPr="00441EA3">
        <w:rPr>
          <w:rFonts w:eastAsia="Times New Roman"/>
          <w:i/>
          <w:iCs/>
          <w:highlight w:val="yellow"/>
        </w:rPr>
        <w:t>convention</w:t>
      </w:r>
      <w:r w:rsidR="004556AD" w:rsidRPr="00441EA3">
        <w:rPr>
          <w:rFonts w:eastAsia="Times New Roman"/>
          <w:i/>
          <w:iCs/>
          <w:highlight w:val="yellow"/>
        </w:rPr>
        <w:t xml:space="preserve"> et permettre de constater une absence</w:t>
      </w:r>
      <w:r w:rsidR="00441EA3" w:rsidRPr="00441EA3">
        <w:rPr>
          <w:rFonts w:eastAsia="Times New Roman"/>
          <w:i/>
          <w:iCs/>
          <w:highlight w:val="yellow"/>
        </w:rPr>
        <w:t xml:space="preserve"> de </w:t>
      </w:r>
      <w:r w:rsidR="00441EA3" w:rsidRPr="00554E0C">
        <w:rPr>
          <w:rFonts w:eastAsia="Times New Roman"/>
          <w:i/>
          <w:iCs/>
          <w:highlight w:val="yellow"/>
        </w:rPr>
        <w:t>discrimination</w:t>
      </w:r>
      <w:r w:rsidR="00554E0C" w:rsidRPr="00554E0C">
        <w:rPr>
          <w:rFonts w:eastAsia="Times New Roman"/>
          <w:i/>
          <w:iCs/>
          <w:highlight w:val="yellow"/>
        </w:rPr>
        <w:t xml:space="preserve"> entre les utilisateurs</w:t>
      </w:r>
      <w:r>
        <w:rPr>
          <w:rFonts w:eastAsia="Times New Roman"/>
          <w:i/>
          <w:iCs/>
        </w:rPr>
        <w:t>]</w:t>
      </w:r>
    </w:p>
    <w:p w14:paraId="0C772024" w14:textId="77777777" w:rsidR="00F71F82" w:rsidRDefault="00F71F82" w:rsidP="006B18DA">
      <w:pPr>
        <w:spacing w:before="120"/>
      </w:pPr>
    </w:p>
    <w:p w14:paraId="4040DBD4" w14:textId="367D40A0" w:rsidR="00F71F82" w:rsidRPr="00EF2792" w:rsidRDefault="00B754CE" w:rsidP="00F71F82">
      <w:pPr>
        <w:spacing w:before="120"/>
        <w:rPr>
          <w:b/>
          <w:bCs/>
          <w:u w:val="single"/>
        </w:rPr>
      </w:pPr>
      <w:r w:rsidRPr="198E3F9C">
        <w:rPr>
          <w:b/>
          <w:bCs/>
          <w:u w:val="single"/>
        </w:rPr>
        <w:t>Inter-compatibilité</w:t>
      </w:r>
      <w:r w:rsidR="00F71F82" w:rsidRPr="198E3F9C">
        <w:rPr>
          <w:b/>
          <w:bCs/>
          <w:u w:val="single"/>
        </w:rPr>
        <w:t> :</w:t>
      </w:r>
    </w:p>
    <w:p w14:paraId="4D65781F" w14:textId="40D0CEAF" w:rsidR="26EB20EE" w:rsidRDefault="26EB20EE" w:rsidP="198E3F9C">
      <w:pPr>
        <w:spacing w:before="120"/>
        <w:rPr>
          <w:rFonts w:eastAsia="Times New Roman"/>
          <w:i/>
          <w:iCs/>
        </w:rPr>
      </w:pPr>
      <w:r w:rsidRPr="198E3F9C">
        <w:rPr>
          <w:rFonts w:eastAsia="Times New Roman"/>
          <w:i/>
          <w:iCs/>
        </w:rPr>
        <w:t>Rappel de l’exigence :</w:t>
      </w:r>
      <w:r w:rsidRPr="198E3F9C">
        <w:rPr>
          <w:rFonts w:ascii="Calibri" w:eastAsia="Calibri" w:hAnsi="Calibri" w:cs="Calibri"/>
        </w:rPr>
        <w:t xml:space="preserve"> L’inter-compatibilité d’une infrastructure collective se définit par sa capacité à permettre une inter-compatibilité avec toute solution proposée, y compris par différents fournisseurs et opérateurs au sein d’une même infrastructure. L’opérateur d’infrastructure devra, dès que les conditions techniques le permettront, permettre une inter-compatibilité de l’infrastructure collective.</w:t>
      </w:r>
    </w:p>
    <w:p w14:paraId="19A73FA2" w14:textId="3C4B11E5" w:rsidR="00F71F82" w:rsidRPr="00011821" w:rsidRDefault="00B754CE" w:rsidP="006B18DA">
      <w:pPr>
        <w:spacing w:before="120"/>
        <w:rPr>
          <w:rFonts w:eastAsia="Times New Roman"/>
          <w:i/>
          <w:iCs/>
        </w:rPr>
      </w:pPr>
      <w:r w:rsidRPr="00B754CE">
        <w:rPr>
          <w:rFonts w:eastAsia="Times New Roman"/>
          <w:i/>
          <w:iCs/>
        </w:rPr>
        <w:t>« L’opérateur s’engage, dès que les conditions techniques le permettront, à permettre une inter-compatibilité avec toute solution individuelle proposée, y compris par différents fournisseurs et opérateurs au sein d’une même infrastructure. »</w:t>
      </w:r>
    </w:p>
    <w:p w14:paraId="5EA0EA2F" w14:textId="77777777" w:rsidR="00F71F82" w:rsidRDefault="00F71F82" w:rsidP="006B18DA">
      <w:pPr>
        <w:spacing w:before="120"/>
      </w:pPr>
    </w:p>
    <w:p w14:paraId="4DBD4077" w14:textId="4F2149D5" w:rsidR="006B18DA" w:rsidRPr="00EF2792" w:rsidRDefault="00B754CE" w:rsidP="006B18DA">
      <w:pPr>
        <w:spacing w:before="120"/>
        <w:rPr>
          <w:b/>
          <w:bCs/>
          <w:u w:val="single"/>
        </w:rPr>
      </w:pPr>
      <w:r w:rsidRPr="198E3F9C">
        <w:rPr>
          <w:b/>
          <w:bCs/>
          <w:u w:val="single"/>
        </w:rPr>
        <w:t>Portabilité/Transfert d’exploitation</w:t>
      </w:r>
      <w:r w:rsidR="00F71F82" w:rsidRPr="198E3F9C">
        <w:rPr>
          <w:b/>
          <w:bCs/>
          <w:u w:val="single"/>
        </w:rPr>
        <w:t> :</w:t>
      </w:r>
    </w:p>
    <w:p w14:paraId="648C4885" w14:textId="51868A73" w:rsidR="72C5D093" w:rsidRDefault="72C5D093" w:rsidP="198E3F9C">
      <w:pPr>
        <w:spacing w:before="120"/>
        <w:rPr>
          <w:rFonts w:ascii="Calibri" w:eastAsia="Calibri" w:hAnsi="Calibri" w:cs="Calibri"/>
        </w:rPr>
      </w:pPr>
      <w:r w:rsidRPr="198E3F9C">
        <w:rPr>
          <w:rFonts w:eastAsia="Times New Roman"/>
          <w:i/>
          <w:iCs/>
        </w:rPr>
        <w:t>Rappel de l’exigence :</w:t>
      </w:r>
      <w:r w:rsidRPr="198E3F9C">
        <w:rPr>
          <w:rFonts w:ascii="Calibri" w:eastAsia="Calibri" w:hAnsi="Calibri" w:cs="Calibri"/>
        </w:rPr>
        <w:t xml:space="preserve"> L’opérateur s’engage sur le transfert d’exploitation à la fin de la délégation ou de manière prématurée à un coût raisonnable et connu lors de la contractualisation. Ce transfert comprend la portabilité des données des utilisateurs : l’opérateur a l’obligation de transmettre une base de données de l’installation collective à jour et qui permet la continuité d’exploitation. Les solutions de gestion d’énergie, de collecte </w:t>
      </w:r>
      <w:r w:rsidRPr="198E3F9C">
        <w:rPr>
          <w:rFonts w:ascii="Calibri" w:eastAsia="Calibri" w:hAnsi="Calibri" w:cs="Calibri"/>
        </w:rPr>
        <w:lastRenderedPageBreak/>
        <w:t>des données, de comptage et de gestion des informations des IRVE mises en place par l’opérateur doivent être ouvertes pour permettre un transfert, dans des conditions raisonnables et sans rémunération de l’opérateur partant, entre opérateurs dans le cas où le bénéficiaire vient à changer son opérateur.</w:t>
      </w:r>
    </w:p>
    <w:p w14:paraId="4C5DA482" w14:textId="5B16DF47" w:rsidR="00011821" w:rsidRDefault="00011821" w:rsidP="00011821">
      <w:pPr>
        <w:spacing w:before="120"/>
        <w:rPr>
          <w:rFonts w:eastAsia="Times New Roman"/>
          <w:i/>
          <w:iCs/>
        </w:rPr>
      </w:pPr>
      <w:r w:rsidRPr="00011821">
        <w:rPr>
          <w:rFonts w:eastAsia="Times New Roman"/>
          <w:i/>
          <w:iCs/>
        </w:rPr>
        <w:t>« L’opérateur s’engage à assurer le transfert et la continuité d’exploitation à la fin de la délégation ou de manière prématurée pour un montant forfaitaire de</w:t>
      </w:r>
      <w:r w:rsidR="00CE6A4E">
        <w:rPr>
          <w:rFonts w:eastAsia="Times New Roman"/>
          <w:i/>
          <w:iCs/>
        </w:rPr>
        <w:t xml:space="preserve"> </w:t>
      </w:r>
      <w:r w:rsidR="00F77D25">
        <w:rPr>
          <w:i/>
          <w:iCs/>
        </w:rPr>
        <w:t>[</w:t>
      </w:r>
      <w:r w:rsidR="00F77D25" w:rsidRPr="00F77D25">
        <w:rPr>
          <w:i/>
          <w:iCs/>
          <w:highlight w:val="yellow"/>
        </w:rPr>
        <w:t>à compléter</w:t>
      </w:r>
      <w:r w:rsidR="00F77D25">
        <w:rPr>
          <w:i/>
          <w:iCs/>
        </w:rPr>
        <w:t>]</w:t>
      </w:r>
      <w:r w:rsidR="00F77D25" w:rsidRPr="00DD6AF6">
        <w:rPr>
          <w:i/>
          <w:iCs/>
        </w:rPr>
        <w:t xml:space="preserve"> </w:t>
      </w:r>
      <w:r w:rsidRPr="00F77D25">
        <w:rPr>
          <w:rFonts w:eastAsia="Times New Roman"/>
          <w:i/>
          <w:iCs/>
        </w:rPr>
        <w:t>€ HT.</w:t>
      </w:r>
      <w:r w:rsidR="00B509EC">
        <w:rPr>
          <w:rFonts w:eastAsia="Times New Roman"/>
          <w:i/>
          <w:iCs/>
        </w:rPr>
        <w:t> »</w:t>
      </w:r>
    </w:p>
    <w:p w14:paraId="6A60ECD3" w14:textId="52B31081" w:rsidR="00CE6A4E" w:rsidRDefault="00315CA0" w:rsidP="00011821">
      <w:pPr>
        <w:spacing w:before="120"/>
        <w:rPr>
          <w:rFonts w:eastAsia="Times New Roman"/>
          <w:i/>
          <w:iCs/>
        </w:rPr>
      </w:pPr>
      <w:proofErr w:type="gramStart"/>
      <w:r>
        <w:rPr>
          <w:rFonts w:eastAsia="Times New Roman"/>
          <w:i/>
          <w:iCs/>
        </w:rPr>
        <w:t>O</w:t>
      </w:r>
      <w:r w:rsidR="00CE6A4E">
        <w:rPr>
          <w:rFonts w:eastAsia="Times New Roman"/>
          <w:i/>
          <w:iCs/>
        </w:rPr>
        <w:t>u</w:t>
      </w:r>
      <w:proofErr w:type="gramEnd"/>
    </w:p>
    <w:p w14:paraId="187C1747" w14:textId="426295BA" w:rsidR="00CE6A4E" w:rsidRPr="00011821" w:rsidRDefault="00CE6A4E" w:rsidP="00011821">
      <w:pPr>
        <w:spacing w:before="120"/>
        <w:rPr>
          <w:rFonts w:eastAsia="Times New Roman"/>
          <w:i/>
          <w:iCs/>
        </w:rPr>
      </w:pPr>
      <w:r w:rsidRPr="00011821">
        <w:rPr>
          <w:rFonts w:eastAsia="Times New Roman"/>
          <w:i/>
          <w:iCs/>
        </w:rPr>
        <w:t xml:space="preserve">« L’opérateur s’engage à assurer le transfert et la continuité d’exploitation à la fin de la délégation ou de manière prématurée </w:t>
      </w:r>
      <w:r w:rsidRPr="00F77D25">
        <w:rPr>
          <w:rFonts w:eastAsia="Times New Roman"/>
          <w:i/>
          <w:iCs/>
        </w:rPr>
        <w:t>à titre gracieux.</w:t>
      </w:r>
    </w:p>
    <w:p w14:paraId="30CCC6F7" w14:textId="6444474A" w:rsidR="00022856" w:rsidRDefault="00315CA0" w:rsidP="00F27B03">
      <w:pPr>
        <w:spacing w:before="120"/>
        <w:rPr>
          <w:i/>
          <w:iCs/>
        </w:rPr>
      </w:pPr>
      <w:r>
        <w:rPr>
          <w:i/>
          <w:iCs/>
        </w:rPr>
        <w:t>E</w:t>
      </w:r>
      <w:r w:rsidR="00022856">
        <w:rPr>
          <w:i/>
          <w:iCs/>
        </w:rPr>
        <w:t>t</w:t>
      </w:r>
    </w:p>
    <w:p w14:paraId="2A2A18F9" w14:textId="720968BD" w:rsidR="006B18DA" w:rsidRDefault="00022856" w:rsidP="198E3F9C">
      <w:pPr>
        <w:spacing w:before="120"/>
        <w:rPr>
          <w:i/>
          <w:iCs/>
        </w:rPr>
      </w:pPr>
      <w:r w:rsidRPr="198E3F9C">
        <w:rPr>
          <w:i/>
          <w:iCs/>
        </w:rPr>
        <w:t>« </w:t>
      </w:r>
      <w:r w:rsidR="007C30DB" w:rsidRPr="198E3F9C">
        <w:rPr>
          <w:i/>
          <w:iCs/>
        </w:rPr>
        <w:t>Ce transfert comprend la portabilité des données des utilisateurs</w:t>
      </w:r>
      <w:r w:rsidR="55FD99E5" w:rsidRPr="198E3F9C">
        <w:rPr>
          <w:i/>
          <w:iCs/>
        </w:rPr>
        <w:t>. L</w:t>
      </w:r>
      <w:r w:rsidR="007C30DB" w:rsidRPr="198E3F9C">
        <w:rPr>
          <w:i/>
          <w:iCs/>
        </w:rPr>
        <w:t xml:space="preserve">’opérateur s’engage à transmettre une base de données de l’installation collective à jour et qui permet la continuité d’exploitation. Les solutions de gestion d’énergie, de collecte des données, de comptage et de gestion des informations des IRVE mises en place par l’opérateur sont ouvertes </w:t>
      </w:r>
      <w:r w:rsidR="6CD5F3B8" w:rsidRPr="198E3F9C">
        <w:rPr>
          <w:i/>
          <w:iCs/>
        </w:rPr>
        <w:t>pour permettre un transfert, dans des conditions raisonnables et sans rémunération de l’opérateur partant, entre opérateurs dans le cas où le bénéficiaire vient à changer son opérateur. »</w:t>
      </w:r>
    </w:p>
    <w:p w14:paraId="5E512413" w14:textId="357AF8F3" w:rsidR="0013687F" w:rsidRDefault="0013687F">
      <w:pPr>
        <w:spacing w:after="160" w:line="259" w:lineRule="auto"/>
        <w:rPr>
          <w:i/>
          <w:iCs/>
        </w:rPr>
      </w:pPr>
    </w:p>
    <w:p w14:paraId="56D69978" w14:textId="5863AC77" w:rsidR="006C531E" w:rsidRPr="00EF2792" w:rsidRDefault="006C531E" w:rsidP="006C531E">
      <w:pPr>
        <w:spacing w:before="120"/>
        <w:rPr>
          <w:b/>
          <w:bCs/>
          <w:u w:val="single"/>
        </w:rPr>
      </w:pPr>
      <w:r w:rsidRPr="198E3F9C">
        <w:rPr>
          <w:b/>
          <w:bCs/>
          <w:u w:val="single"/>
        </w:rPr>
        <w:t xml:space="preserve">Transfert de </w:t>
      </w:r>
      <w:r w:rsidR="0013687F" w:rsidRPr="198E3F9C">
        <w:rPr>
          <w:b/>
          <w:bCs/>
          <w:u w:val="single"/>
        </w:rPr>
        <w:t>propriété (pour les cas avec tiers-investisseur)</w:t>
      </w:r>
      <w:r w:rsidRPr="198E3F9C">
        <w:rPr>
          <w:b/>
          <w:bCs/>
          <w:u w:val="single"/>
        </w:rPr>
        <w:t> :</w:t>
      </w:r>
    </w:p>
    <w:p w14:paraId="7841B073" w14:textId="7BC48F83" w:rsidR="50B09EE5" w:rsidRDefault="50B09EE5" w:rsidP="198E3F9C">
      <w:pPr>
        <w:spacing w:before="120"/>
        <w:rPr>
          <w:rFonts w:ascii="Calibri" w:eastAsia="Calibri" w:hAnsi="Calibri" w:cs="Calibri"/>
        </w:rPr>
      </w:pPr>
      <w:r w:rsidRPr="55C44CF2">
        <w:rPr>
          <w:rFonts w:eastAsia="Times New Roman"/>
          <w:i/>
          <w:iCs/>
        </w:rPr>
        <w:t>Rappel de l’exigence :</w:t>
      </w:r>
      <w:r w:rsidRPr="55C44CF2">
        <w:rPr>
          <w:rFonts w:ascii="Calibri" w:eastAsia="Calibri" w:hAnsi="Calibri" w:cs="Calibri"/>
        </w:rPr>
        <w:t xml:space="preserve"> Le transfert de propriété est activable par le bénéficiaire dans le cadre d’une option d’achat à une échéance définie par rapport à la date de signature de la convention et qui intervient au plus tard 7 ans passé cette date. Le prix ou la méthode de calcul de la valeur résiduelle de l’infrastructure à cette échéance restant à la charge du bénéficiaire est clairement indiqué dans la clause de transfert de propriété. Ce dernier prend en compte les montants des subventions reçues et l’amortissement restant.</w:t>
      </w:r>
    </w:p>
    <w:p w14:paraId="01CA85A3" w14:textId="262B6F7C" w:rsidR="006C531E" w:rsidRDefault="006C531E" w:rsidP="006C531E">
      <w:pPr>
        <w:spacing w:before="120"/>
        <w:rPr>
          <w:rFonts w:eastAsia="Times New Roman"/>
          <w:i/>
          <w:iCs/>
        </w:rPr>
      </w:pPr>
      <w:r w:rsidRPr="00B754CE">
        <w:rPr>
          <w:rFonts w:eastAsia="Times New Roman"/>
          <w:i/>
          <w:iCs/>
        </w:rPr>
        <w:t>« </w:t>
      </w:r>
      <w:r w:rsidR="00AC2686">
        <w:rPr>
          <w:rFonts w:eastAsia="Times New Roman"/>
          <w:i/>
          <w:iCs/>
        </w:rPr>
        <w:t>L</w:t>
      </w:r>
      <w:r w:rsidR="00AE7DF1">
        <w:rPr>
          <w:rFonts w:eastAsia="Times New Roman"/>
          <w:i/>
          <w:iCs/>
        </w:rPr>
        <w:t xml:space="preserve">a copropriété </w:t>
      </w:r>
      <w:r w:rsidR="00AC2686">
        <w:rPr>
          <w:rFonts w:eastAsia="Times New Roman"/>
          <w:i/>
          <w:iCs/>
        </w:rPr>
        <w:t>pourra bénéficier d’un</w:t>
      </w:r>
      <w:r w:rsidR="00AE7DF1">
        <w:rPr>
          <w:rFonts w:eastAsia="Times New Roman"/>
          <w:i/>
          <w:iCs/>
        </w:rPr>
        <w:t>e</w:t>
      </w:r>
      <w:r w:rsidR="00AC2686">
        <w:rPr>
          <w:rFonts w:eastAsia="Times New Roman"/>
          <w:i/>
          <w:iCs/>
        </w:rPr>
        <w:t xml:space="preserve"> </w:t>
      </w:r>
      <w:r w:rsidR="0037231B">
        <w:rPr>
          <w:rFonts w:eastAsia="Times New Roman"/>
          <w:i/>
          <w:iCs/>
        </w:rPr>
        <w:t>option d’achat</w:t>
      </w:r>
      <w:r w:rsidR="003819C0">
        <w:rPr>
          <w:rFonts w:eastAsia="Times New Roman"/>
          <w:i/>
          <w:iCs/>
        </w:rPr>
        <w:t xml:space="preserve"> de l’infrastructure collective</w:t>
      </w:r>
      <w:r w:rsidR="008048B3">
        <w:rPr>
          <w:rFonts w:eastAsia="Times New Roman"/>
          <w:i/>
          <w:iCs/>
        </w:rPr>
        <w:t xml:space="preserve"> à partir de </w:t>
      </w:r>
      <w:r w:rsidR="008048B3">
        <w:rPr>
          <w:i/>
          <w:iCs/>
        </w:rPr>
        <w:t>[</w:t>
      </w:r>
      <w:r w:rsidR="008048B3" w:rsidRPr="00F77D25">
        <w:rPr>
          <w:i/>
          <w:iCs/>
          <w:highlight w:val="yellow"/>
        </w:rPr>
        <w:t>à compléter</w:t>
      </w:r>
      <w:r w:rsidR="008048B3">
        <w:rPr>
          <w:i/>
          <w:iCs/>
        </w:rPr>
        <w:t>]</w:t>
      </w:r>
      <w:r w:rsidR="008048B3">
        <w:rPr>
          <w:rFonts w:eastAsia="Times New Roman"/>
          <w:i/>
          <w:iCs/>
        </w:rPr>
        <w:t xml:space="preserve"> pour un montant de </w:t>
      </w:r>
      <w:r w:rsidR="008048B3">
        <w:rPr>
          <w:i/>
          <w:iCs/>
        </w:rPr>
        <w:t>[</w:t>
      </w:r>
      <w:r w:rsidR="008048B3" w:rsidRPr="00F77D25">
        <w:rPr>
          <w:i/>
          <w:iCs/>
          <w:highlight w:val="yellow"/>
        </w:rPr>
        <w:t>à compléter</w:t>
      </w:r>
      <w:r w:rsidR="008048B3">
        <w:rPr>
          <w:i/>
          <w:iCs/>
        </w:rPr>
        <w:t>] € HT</w:t>
      </w:r>
      <w:r w:rsidR="00AD297F">
        <w:rPr>
          <w:rFonts w:eastAsia="Times New Roman"/>
          <w:i/>
          <w:iCs/>
        </w:rPr>
        <w:t>.</w:t>
      </w:r>
      <w:r w:rsidRPr="00B754CE">
        <w:rPr>
          <w:rFonts w:eastAsia="Times New Roman"/>
          <w:i/>
          <w:iCs/>
        </w:rPr>
        <w:t> »</w:t>
      </w:r>
    </w:p>
    <w:p w14:paraId="37EE53B3" w14:textId="769E684A" w:rsidR="00315CA0" w:rsidRDefault="00315CA0" w:rsidP="006C531E">
      <w:pPr>
        <w:spacing w:before="120"/>
        <w:rPr>
          <w:rFonts w:eastAsia="Times New Roman"/>
          <w:i/>
          <w:iCs/>
        </w:rPr>
      </w:pPr>
      <w:proofErr w:type="gramStart"/>
      <w:r>
        <w:rPr>
          <w:rFonts w:eastAsia="Times New Roman"/>
          <w:i/>
          <w:iCs/>
        </w:rPr>
        <w:t>Ou</w:t>
      </w:r>
      <w:proofErr w:type="gramEnd"/>
    </w:p>
    <w:p w14:paraId="72C04F18" w14:textId="15267C3F" w:rsidR="00315CA0" w:rsidRDefault="00315CA0" w:rsidP="00315CA0">
      <w:pPr>
        <w:spacing w:before="120"/>
        <w:rPr>
          <w:rFonts w:eastAsia="Times New Roman"/>
          <w:i/>
          <w:iCs/>
        </w:rPr>
      </w:pPr>
      <w:r w:rsidRPr="00B754CE">
        <w:rPr>
          <w:rFonts w:eastAsia="Times New Roman"/>
          <w:i/>
          <w:iCs/>
        </w:rPr>
        <w:t>« </w:t>
      </w:r>
      <w:r>
        <w:rPr>
          <w:rFonts w:eastAsia="Times New Roman"/>
          <w:i/>
          <w:iCs/>
        </w:rPr>
        <w:t xml:space="preserve">La copropriété pourra bénéficier d’une option d’achat de l’infrastructure collective à partir de </w:t>
      </w:r>
      <w:r>
        <w:rPr>
          <w:i/>
          <w:iCs/>
        </w:rPr>
        <w:t>[</w:t>
      </w:r>
      <w:r w:rsidRPr="00F77D25">
        <w:rPr>
          <w:i/>
          <w:iCs/>
          <w:highlight w:val="yellow"/>
        </w:rPr>
        <w:t>à compléter</w:t>
      </w:r>
      <w:r>
        <w:rPr>
          <w:i/>
          <w:iCs/>
        </w:rPr>
        <w:t>]</w:t>
      </w:r>
      <w:r>
        <w:rPr>
          <w:rFonts w:eastAsia="Times New Roman"/>
          <w:i/>
          <w:iCs/>
        </w:rPr>
        <w:t xml:space="preserve"> pour un montant dé</w:t>
      </w:r>
      <w:r w:rsidR="00B940E2">
        <w:rPr>
          <w:rFonts w:eastAsia="Times New Roman"/>
          <w:i/>
          <w:iCs/>
        </w:rPr>
        <w:t>fini par la formule suivante :</w:t>
      </w:r>
      <w:r>
        <w:rPr>
          <w:rFonts w:eastAsia="Times New Roman"/>
          <w:i/>
          <w:iCs/>
        </w:rPr>
        <w:t xml:space="preserve"> </w:t>
      </w:r>
      <w:r>
        <w:rPr>
          <w:i/>
          <w:iCs/>
        </w:rPr>
        <w:t>[</w:t>
      </w:r>
      <w:r w:rsidRPr="00F77D25">
        <w:rPr>
          <w:i/>
          <w:iCs/>
          <w:highlight w:val="yellow"/>
        </w:rPr>
        <w:t>à compléter</w:t>
      </w:r>
      <w:r>
        <w:rPr>
          <w:i/>
          <w:iCs/>
        </w:rPr>
        <w:t>]</w:t>
      </w:r>
      <w:r>
        <w:rPr>
          <w:rFonts w:eastAsia="Times New Roman"/>
          <w:i/>
          <w:iCs/>
        </w:rPr>
        <w:t>.</w:t>
      </w:r>
      <w:r w:rsidRPr="00B754CE">
        <w:rPr>
          <w:rFonts w:eastAsia="Times New Roman"/>
          <w:i/>
          <w:iCs/>
        </w:rPr>
        <w:t> »</w:t>
      </w:r>
    </w:p>
    <w:p w14:paraId="21998C1D" w14:textId="350A8503" w:rsidR="00F229E8" w:rsidRPr="00F77D25" w:rsidRDefault="00F229E8" w:rsidP="198E3F9C">
      <w:pPr>
        <w:spacing w:before="120"/>
        <w:rPr>
          <w:rFonts w:eastAsia="Times New Roman"/>
          <w:i/>
          <w:iCs/>
        </w:rPr>
      </w:pPr>
    </w:p>
    <w:sectPr w:rsidR="00F229E8" w:rsidRPr="00F77D25" w:rsidSect="00706454">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E1352" w14:textId="77777777" w:rsidR="005D0168" w:rsidRDefault="005D0168" w:rsidP="005D0168">
      <w:r>
        <w:separator/>
      </w:r>
    </w:p>
  </w:endnote>
  <w:endnote w:type="continuationSeparator" w:id="0">
    <w:p w14:paraId="32CF490B" w14:textId="77777777" w:rsidR="005D0168" w:rsidRDefault="005D0168" w:rsidP="005D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Medium">
    <w:altName w:val="Arial"/>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FA1AC" w14:textId="77777777" w:rsidR="00706454" w:rsidRDefault="00706454" w:rsidP="00706454">
    <w:pPr>
      <w:pStyle w:val="Corpsdetexte"/>
      <w:rPr>
        <w:szCs w:val="20"/>
      </w:rPr>
    </w:pPr>
    <w:r>
      <w:rPr>
        <w:noProof/>
        <w:szCs w:val="20"/>
      </w:rPr>
      <w:drawing>
        <wp:anchor distT="0" distB="0" distL="114300" distR="114300" simplePos="0" relativeHeight="251662336" behindDoc="0" locked="0" layoutInCell="1" allowOverlap="1" wp14:anchorId="5F259B3B" wp14:editId="40C111CE">
          <wp:simplePos x="0" y="0"/>
          <wp:positionH relativeFrom="margin">
            <wp:posOffset>2115185</wp:posOffset>
          </wp:positionH>
          <wp:positionV relativeFrom="paragraph">
            <wp:posOffset>113665</wp:posOffset>
          </wp:positionV>
          <wp:extent cx="1962785" cy="48895"/>
          <wp:effectExtent l="0" t="0" r="0" b="8255"/>
          <wp:wrapNone/>
          <wp:docPr id="315863646" name="Image 31586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48895"/>
                  </a:xfrm>
                  <a:prstGeom prst="rect">
                    <a:avLst/>
                  </a:prstGeom>
                  <a:noFill/>
                </pic:spPr>
              </pic:pic>
            </a:graphicData>
          </a:graphic>
        </wp:anchor>
      </w:drawing>
    </w:r>
    <w:r>
      <w:rPr>
        <w:noProof/>
        <w:szCs w:val="20"/>
        <w:lang w:eastAsia="fr-FR"/>
      </w:rPr>
      <mc:AlternateContent>
        <mc:Choice Requires="wps">
          <w:drawing>
            <wp:anchor distT="0" distB="0" distL="114300" distR="114300" simplePos="0" relativeHeight="251663360" behindDoc="1" locked="0" layoutInCell="1" allowOverlap="1" wp14:anchorId="49D4F0D7" wp14:editId="09283C41">
              <wp:simplePos x="0" y="0"/>
              <wp:positionH relativeFrom="margin">
                <wp:align>center</wp:align>
              </wp:positionH>
              <wp:positionV relativeFrom="paragraph">
                <wp:posOffset>111760</wp:posOffset>
              </wp:positionV>
              <wp:extent cx="1962785" cy="46355"/>
              <wp:effectExtent l="0" t="0" r="6350" b="5715"/>
              <wp:wrapNone/>
              <wp:docPr id="935442553" name="Rectangle 935442553"/>
              <wp:cNvGraphicFramePr/>
              <a:graphic xmlns:a="http://schemas.openxmlformats.org/drawingml/2006/main">
                <a:graphicData uri="http://schemas.microsoft.com/office/word/2010/wordprocessingShape">
                  <wps:wsp>
                    <wps:cNvSpPr/>
                    <wps:spPr>
                      <a:xfrm>
                        <a:off x="0" y="0"/>
                        <a:ext cx="1962000" cy="45720"/>
                      </a:xfrm>
                      <a:prstGeom prst="rect">
                        <a:avLst/>
                      </a:prstGeom>
                      <a:gradFill rotWithShape="0">
                        <a:gsLst>
                          <a:gs pos="0">
                            <a:schemeClr val="accent1"/>
                          </a:gs>
                          <a:gs pos="0">
                            <a:schemeClr val="accent1"/>
                          </a:gs>
                          <a:gs pos="100000">
                            <a:schemeClr val="accent3"/>
                          </a:gs>
                        </a:gsLst>
                        <a:lin ang="0"/>
                      </a:gra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73B3C62D" id="Rectangle 935442553" o:spid="_x0000_s1026" style="position:absolute;margin-left:0;margin-top:8.8pt;width:154.55pt;height:3.65pt;z-index:-2516531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" fillcolor="#4472c4 [3204]" stroked="f" strokeweight="1pt">
              <v:fill color2="#a5a5a5 [3206]" angle="90" colors="0 #4472c4;0 #4472c4;1 #a5a5a5" focus="100%" type="gradient">
                <o:fill v:ext="view" type="gradientUnscaled"/>
              </v:fill>
              <w10:wrap anchorx="margin"/>
            </v:rect>
          </w:pict>
        </mc:Fallback>
      </mc:AlternateContent>
    </w:r>
  </w:p>
  <w:p w14:paraId="1BCA3E8C" w14:textId="2F49C5EB" w:rsidR="00706454" w:rsidRPr="00706454" w:rsidRDefault="00706454" w:rsidP="00706454">
    <w:pPr>
      <w:pStyle w:val="Pieddepage-nomdudocument"/>
      <w:jc w:val="center"/>
    </w:pPr>
    <w:r>
      <w:t>Advenir est un programme CEE piloté par l’</w:t>
    </w:r>
    <w:proofErr w:type="spellStart"/>
    <w:r>
      <w:t>Avere</w:t>
    </w:r>
    <w:proofErr w:type="spellEnd"/>
    <w:r>
      <w:t xml:space="preserve">-France, sous l’égide du Ministère de la Transition énergétique </w:t>
    </w:r>
    <w:r>
      <w:br/>
    </w:r>
    <w:proofErr w:type="spellStart"/>
    <w:r>
      <w:t>Avere</w:t>
    </w:r>
    <w:proofErr w:type="spellEnd"/>
    <w:r>
      <w:t xml:space="preserve">-France, 5 rue du Helder – 75009 Paris – </w:t>
    </w:r>
    <w:hyperlink r:id="rId2">
      <w:r>
        <w:rPr>
          <w:rStyle w:val="LienInternet"/>
        </w:rPr>
        <w:t>advenir@avere-france.org</w:t>
      </w:r>
    </w:hyperlink>
    <w:r>
      <w:t xml:space="preserve"> – </w:t>
    </w:r>
    <w:hyperlink r:id="rId3">
      <w:r>
        <w:rPr>
          <w:rStyle w:val="LienInternet"/>
        </w:rPr>
        <w:t>http://advenir.mobi</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A340" w14:textId="77777777" w:rsidR="00706454" w:rsidRDefault="00706454" w:rsidP="00706454">
    <w:pPr>
      <w:pStyle w:val="Corpsdetexte"/>
      <w:rPr>
        <w:szCs w:val="20"/>
      </w:rPr>
    </w:pPr>
    <w:r>
      <w:rPr>
        <w:noProof/>
        <w:szCs w:val="20"/>
      </w:rPr>
      <w:drawing>
        <wp:anchor distT="0" distB="0" distL="114300" distR="114300" simplePos="0" relativeHeight="251659264" behindDoc="0" locked="0" layoutInCell="1" allowOverlap="1" wp14:anchorId="735962C9" wp14:editId="472FB52D">
          <wp:simplePos x="0" y="0"/>
          <wp:positionH relativeFrom="margin">
            <wp:posOffset>2115185</wp:posOffset>
          </wp:positionH>
          <wp:positionV relativeFrom="paragraph">
            <wp:posOffset>113665</wp:posOffset>
          </wp:positionV>
          <wp:extent cx="1962785" cy="48895"/>
          <wp:effectExtent l="0" t="0" r="0" b="8255"/>
          <wp:wrapNone/>
          <wp:docPr id="11858268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48895"/>
                  </a:xfrm>
                  <a:prstGeom prst="rect">
                    <a:avLst/>
                  </a:prstGeom>
                  <a:noFill/>
                </pic:spPr>
              </pic:pic>
            </a:graphicData>
          </a:graphic>
        </wp:anchor>
      </w:drawing>
    </w:r>
    <w:r>
      <w:rPr>
        <w:noProof/>
        <w:szCs w:val="20"/>
        <w:lang w:eastAsia="fr-FR"/>
      </w:rPr>
      <mc:AlternateContent>
        <mc:Choice Requires="wps">
          <w:drawing>
            <wp:anchor distT="0" distB="0" distL="114300" distR="114300" simplePos="0" relativeHeight="251660288" behindDoc="1" locked="0" layoutInCell="1" allowOverlap="1" wp14:anchorId="0C465871" wp14:editId="01BB9968">
              <wp:simplePos x="0" y="0"/>
              <wp:positionH relativeFrom="margin">
                <wp:align>center</wp:align>
              </wp:positionH>
              <wp:positionV relativeFrom="paragraph">
                <wp:posOffset>111760</wp:posOffset>
              </wp:positionV>
              <wp:extent cx="1962785" cy="46355"/>
              <wp:effectExtent l="0" t="0" r="6350" b="5715"/>
              <wp:wrapNone/>
              <wp:docPr id="6" name="Rectangle 6"/>
              <wp:cNvGraphicFramePr/>
              <a:graphic xmlns:a="http://schemas.openxmlformats.org/drawingml/2006/main">
                <a:graphicData uri="http://schemas.microsoft.com/office/word/2010/wordprocessingShape">
                  <wps:wsp>
                    <wps:cNvSpPr/>
                    <wps:spPr>
                      <a:xfrm>
                        <a:off x="0" y="0"/>
                        <a:ext cx="1962000" cy="45720"/>
                      </a:xfrm>
                      <a:prstGeom prst="rect">
                        <a:avLst/>
                      </a:prstGeom>
                      <a:gradFill rotWithShape="0">
                        <a:gsLst>
                          <a:gs pos="0">
                            <a:schemeClr val="accent1"/>
                          </a:gs>
                          <a:gs pos="0">
                            <a:schemeClr val="accent1"/>
                          </a:gs>
                          <a:gs pos="100000">
                            <a:schemeClr val="accent3"/>
                          </a:gs>
                        </a:gsLst>
                        <a:lin ang="0"/>
                      </a:gra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17AE3150" id="Rectangle 6" o:spid="_x0000_s1026" style="position:absolute;margin-left:0;margin-top:8.8pt;width:154.55pt;height:3.65pt;z-index:-2516561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" fillcolor="#4472c4 [3204]" stroked="f" strokeweight="1pt">
              <v:fill color2="#a5a5a5 [3206]" angle="90" colors="0 #4472c4;0 #4472c4;1 #a5a5a5" focus="100%" type="gradient">
                <o:fill v:ext="view" type="gradientUnscaled"/>
              </v:fill>
              <w10:wrap anchorx="margin"/>
            </v:rect>
          </w:pict>
        </mc:Fallback>
      </mc:AlternateContent>
    </w:r>
  </w:p>
  <w:p w14:paraId="4E31E868" w14:textId="6F5D1C32" w:rsidR="00706454" w:rsidRDefault="00706454" w:rsidP="00706454">
    <w:pPr>
      <w:pStyle w:val="Pieddepage-nomdudocument"/>
      <w:jc w:val="center"/>
    </w:pPr>
    <w:r>
      <w:t>Advenir est un programme CEE piloté par l’</w:t>
    </w:r>
    <w:proofErr w:type="spellStart"/>
    <w:r>
      <w:t>Avere</w:t>
    </w:r>
    <w:proofErr w:type="spellEnd"/>
    <w:r>
      <w:t xml:space="preserve">-France, sous l’égide du Ministère de la Transition énergétique </w:t>
    </w:r>
    <w:r>
      <w:br/>
    </w:r>
    <w:proofErr w:type="spellStart"/>
    <w:r>
      <w:t>Avere</w:t>
    </w:r>
    <w:proofErr w:type="spellEnd"/>
    <w:r>
      <w:t xml:space="preserve">-France, 5 rue du Helder – 75009 Paris – </w:t>
    </w:r>
    <w:hyperlink r:id="rId2">
      <w:r>
        <w:rPr>
          <w:rStyle w:val="LienInternet"/>
        </w:rPr>
        <w:t>advenir@avere-france.org</w:t>
      </w:r>
    </w:hyperlink>
    <w:r>
      <w:t xml:space="preserve"> – </w:t>
    </w:r>
    <w:hyperlink r:id="rId3">
      <w:r>
        <w:rPr>
          <w:rStyle w:val="LienInternet"/>
        </w:rPr>
        <w:t>http://advenir.mobi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7A7AB" w14:textId="77777777" w:rsidR="005D0168" w:rsidRDefault="005D0168" w:rsidP="005D0168">
      <w:r>
        <w:separator/>
      </w:r>
    </w:p>
  </w:footnote>
  <w:footnote w:type="continuationSeparator" w:id="0">
    <w:p w14:paraId="6CE3982D" w14:textId="77777777" w:rsidR="005D0168" w:rsidRDefault="005D0168" w:rsidP="005D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A504B" w14:textId="7570A13B" w:rsidR="00706454" w:rsidRDefault="00706454" w:rsidP="00706454">
    <w:pPr>
      <w:pStyle w:val="En-tte"/>
      <w:jc w:val="center"/>
    </w:pPr>
    <w:r>
      <w:rPr>
        <w:noProof/>
      </w:rPr>
      <w:drawing>
        <wp:inline distT="0" distB="0" distL="0" distR="0" wp14:anchorId="0E9C51FA" wp14:editId="1E01AD07">
          <wp:extent cx="1514475" cy="617177"/>
          <wp:effectExtent l="0" t="0" r="0" b="0"/>
          <wp:docPr id="403997476" name="Image 403997476"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70313" name="Image 1185470313" descr="Une image contenant Police, Graphique, logo, capture d’écran&#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l="13340" t="23047" r="13340" b="24023"/>
                  <a:stretch/>
                </pic:blipFill>
                <pic:spPr bwMode="auto">
                  <a:xfrm>
                    <a:off x="0" y="0"/>
                    <a:ext cx="1640455" cy="66851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4157AAC7" wp14:editId="5B3F67D6">
          <wp:extent cx="1459585" cy="542925"/>
          <wp:effectExtent l="0" t="0" r="7620" b="0"/>
          <wp:docPr id="309416544" name="Image 309416544"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Graphique, Police, graphisme, logo&#10;&#10;Description générée automatiquement"/>
                  <pic:cNvPicPr>
                    <a:picLocks noChangeAspect="1" noChangeArrowheads="1"/>
                  </pic:cNvPicPr>
                </pic:nvPicPr>
                <pic:blipFill rotWithShape="1">
                  <a:blip r:embed="rId2">
                    <a:extLst>
                      <a:ext uri="{28A0092B-C50C-407E-A947-70E740481C1C}">
                        <a14:useLocalDpi xmlns:a14="http://schemas.microsoft.com/office/drawing/2010/main" val="0"/>
                      </a:ext>
                    </a:extLst>
                  </a:blip>
                  <a:srcRect t="1" b="-24818"/>
                  <a:stretch/>
                </pic:blipFill>
                <pic:spPr bwMode="auto">
                  <a:xfrm>
                    <a:off x="0" y="0"/>
                    <a:ext cx="1526394" cy="5677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71CDB"/>
    <w:multiLevelType w:val="multilevel"/>
    <w:tmpl w:val="7E0AB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40F3B"/>
    <w:multiLevelType w:val="multilevel"/>
    <w:tmpl w:val="E7AC2D16"/>
    <w:lvl w:ilvl="0">
      <w:numFmt w:val="bullet"/>
      <w:lvlText w:val="-"/>
      <w:lvlJc w:val="left"/>
      <w:pPr>
        <w:ind w:left="496" w:hanging="360"/>
      </w:pPr>
      <w:rPr>
        <w:rFonts w:ascii="Arial" w:eastAsia="Arial" w:hAnsi="Arial" w:cs="Arial"/>
        <w:sz w:val="20"/>
        <w:szCs w:val="20"/>
      </w:rPr>
    </w:lvl>
    <w:lvl w:ilvl="1">
      <w:numFmt w:val="bullet"/>
      <w:lvlText w:val="•"/>
      <w:lvlJc w:val="left"/>
      <w:pPr>
        <w:ind w:left="1386" w:hanging="360"/>
      </w:pPr>
    </w:lvl>
    <w:lvl w:ilvl="2">
      <w:numFmt w:val="bullet"/>
      <w:lvlText w:val="•"/>
      <w:lvlJc w:val="left"/>
      <w:pPr>
        <w:ind w:left="2273" w:hanging="360"/>
      </w:pPr>
    </w:lvl>
    <w:lvl w:ilvl="3">
      <w:numFmt w:val="bullet"/>
      <w:lvlText w:val="•"/>
      <w:lvlJc w:val="left"/>
      <w:pPr>
        <w:ind w:left="3159" w:hanging="360"/>
      </w:pPr>
    </w:lvl>
    <w:lvl w:ilvl="4">
      <w:numFmt w:val="bullet"/>
      <w:lvlText w:val="•"/>
      <w:lvlJc w:val="left"/>
      <w:pPr>
        <w:ind w:left="4046" w:hanging="360"/>
      </w:pPr>
    </w:lvl>
    <w:lvl w:ilvl="5">
      <w:numFmt w:val="bullet"/>
      <w:lvlText w:val="•"/>
      <w:lvlJc w:val="left"/>
      <w:pPr>
        <w:ind w:left="4933" w:hanging="360"/>
      </w:pPr>
    </w:lvl>
    <w:lvl w:ilvl="6">
      <w:numFmt w:val="bullet"/>
      <w:lvlText w:val="•"/>
      <w:lvlJc w:val="left"/>
      <w:pPr>
        <w:ind w:left="5819" w:hanging="360"/>
      </w:pPr>
    </w:lvl>
    <w:lvl w:ilvl="7">
      <w:numFmt w:val="bullet"/>
      <w:lvlText w:val="•"/>
      <w:lvlJc w:val="left"/>
      <w:pPr>
        <w:ind w:left="6706" w:hanging="360"/>
      </w:pPr>
    </w:lvl>
    <w:lvl w:ilvl="8">
      <w:numFmt w:val="bullet"/>
      <w:lvlText w:val="•"/>
      <w:lvlJc w:val="left"/>
      <w:pPr>
        <w:ind w:left="7593" w:hanging="360"/>
      </w:pPr>
    </w:lvl>
  </w:abstractNum>
  <w:num w:numId="1" w16cid:durableId="972515166">
    <w:abstractNumId w:val="0"/>
  </w:num>
  <w:num w:numId="2" w16cid:durableId="1935165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4F"/>
    <w:rsid w:val="000109B9"/>
    <w:rsid w:val="00011821"/>
    <w:rsid w:val="00022856"/>
    <w:rsid w:val="000647AE"/>
    <w:rsid w:val="00095A79"/>
    <w:rsid w:val="000B3508"/>
    <w:rsid w:val="00126818"/>
    <w:rsid w:val="0013687F"/>
    <w:rsid w:val="00146E64"/>
    <w:rsid w:val="00151E3F"/>
    <w:rsid w:val="00152799"/>
    <w:rsid w:val="001877CB"/>
    <w:rsid w:val="001C3D65"/>
    <w:rsid w:val="001E7D6B"/>
    <w:rsid w:val="0028713E"/>
    <w:rsid w:val="002A4769"/>
    <w:rsid w:val="00315CA0"/>
    <w:rsid w:val="0037231B"/>
    <w:rsid w:val="003819C0"/>
    <w:rsid w:val="00392B07"/>
    <w:rsid w:val="003C36E8"/>
    <w:rsid w:val="0040369F"/>
    <w:rsid w:val="00407585"/>
    <w:rsid w:val="00412DE0"/>
    <w:rsid w:val="00441EA3"/>
    <w:rsid w:val="004556AD"/>
    <w:rsid w:val="004623A8"/>
    <w:rsid w:val="0049205A"/>
    <w:rsid w:val="00554E0C"/>
    <w:rsid w:val="00594D22"/>
    <w:rsid w:val="005C7520"/>
    <w:rsid w:val="005D0168"/>
    <w:rsid w:val="0061615D"/>
    <w:rsid w:val="00685CE2"/>
    <w:rsid w:val="006A0233"/>
    <w:rsid w:val="006B18DA"/>
    <w:rsid w:val="006C531E"/>
    <w:rsid w:val="006D2771"/>
    <w:rsid w:val="00706454"/>
    <w:rsid w:val="007B52F9"/>
    <w:rsid w:val="007C30DB"/>
    <w:rsid w:val="007E4ED0"/>
    <w:rsid w:val="008048B3"/>
    <w:rsid w:val="00823DC1"/>
    <w:rsid w:val="008C334F"/>
    <w:rsid w:val="008E1648"/>
    <w:rsid w:val="00950204"/>
    <w:rsid w:val="009C36F6"/>
    <w:rsid w:val="009E5C2C"/>
    <w:rsid w:val="00A060FA"/>
    <w:rsid w:val="00A70E3B"/>
    <w:rsid w:val="00A74812"/>
    <w:rsid w:val="00A77BC6"/>
    <w:rsid w:val="00A80045"/>
    <w:rsid w:val="00A8771A"/>
    <w:rsid w:val="00AC2686"/>
    <w:rsid w:val="00AC3C22"/>
    <w:rsid w:val="00AD297F"/>
    <w:rsid w:val="00AE7DF1"/>
    <w:rsid w:val="00B509EC"/>
    <w:rsid w:val="00B754CE"/>
    <w:rsid w:val="00B940E2"/>
    <w:rsid w:val="00BB0CFF"/>
    <w:rsid w:val="00CB27DC"/>
    <w:rsid w:val="00CD126C"/>
    <w:rsid w:val="00CE6A4E"/>
    <w:rsid w:val="00D9070B"/>
    <w:rsid w:val="00DD6AF6"/>
    <w:rsid w:val="00E5231C"/>
    <w:rsid w:val="00EF2792"/>
    <w:rsid w:val="00F130A1"/>
    <w:rsid w:val="00F229E8"/>
    <w:rsid w:val="00F23E08"/>
    <w:rsid w:val="00F27B03"/>
    <w:rsid w:val="00F71F82"/>
    <w:rsid w:val="00F77D25"/>
    <w:rsid w:val="0C68F3B4"/>
    <w:rsid w:val="10A41920"/>
    <w:rsid w:val="16D60734"/>
    <w:rsid w:val="198E3F9C"/>
    <w:rsid w:val="1BD365ED"/>
    <w:rsid w:val="1D4BE44F"/>
    <w:rsid w:val="26EB20EE"/>
    <w:rsid w:val="2A4FC159"/>
    <w:rsid w:val="2EF307E4"/>
    <w:rsid w:val="333D6EFB"/>
    <w:rsid w:val="34283AE1"/>
    <w:rsid w:val="36A4642D"/>
    <w:rsid w:val="4241F11E"/>
    <w:rsid w:val="43AD6319"/>
    <w:rsid w:val="45C809DC"/>
    <w:rsid w:val="47B6DA94"/>
    <w:rsid w:val="48936A62"/>
    <w:rsid w:val="4B4C3097"/>
    <w:rsid w:val="4C2DCEBB"/>
    <w:rsid w:val="4D98E46D"/>
    <w:rsid w:val="50B09EE5"/>
    <w:rsid w:val="5480FEF5"/>
    <w:rsid w:val="55C44CF2"/>
    <w:rsid w:val="55FD99E5"/>
    <w:rsid w:val="61DB19C6"/>
    <w:rsid w:val="648D4DF2"/>
    <w:rsid w:val="69ED6CFC"/>
    <w:rsid w:val="6CCEE972"/>
    <w:rsid w:val="6CD5F3B8"/>
    <w:rsid w:val="7187C3C0"/>
    <w:rsid w:val="72C5D093"/>
    <w:rsid w:val="7513C626"/>
    <w:rsid w:val="7BE30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DD7004"/>
  <w15:chartTrackingRefBased/>
  <w15:docId w15:val="{4713F184-F76F-4904-AEB7-6A1A86EA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799"/>
    <w:pPr>
      <w:spacing w:after="0" w:line="240" w:lineRule="auto"/>
    </w:pPr>
    <w:rPr>
      <w:rFonts w:eastAsiaTheme="minorEastAsia"/>
      <w:sz w:val="24"/>
      <w:szCs w:val="24"/>
      <w:lang w:eastAsia="fr-FR"/>
    </w:rPr>
  </w:style>
  <w:style w:type="paragraph" w:styleId="Titre1">
    <w:name w:val="heading 1"/>
    <w:basedOn w:val="Citationintense"/>
    <w:next w:val="Normal"/>
    <w:link w:val="Titre1Car"/>
    <w:uiPriority w:val="9"/>
    <w:qFormat/>
    <w:rsid w:val="00A060FA"/>
    <w:pPr>
      <w:pBdr>
        <w:top w:val="single" w:sz="4" w:space="10" w:color="007CC1"/>
        <w:bottom w:val="single" w:sz="4" w:space="10" w:color="007CC1"/>
      </w:pBdr>
      <w:spacing w:after="600"/>
      <w:ind w:left="567" w:right="567"/>
      <w:outlineLvl w:val="0"/>
    </w:pPr>
    <w:rPr>
      <w:rFonts w:ascii="Futura Medium" w:hAnsi="Futura Medium"/>
      <w:b w:val="0"/>
      <w:bCs w:val="0"/>
      <w:i w:val="0"/>
      <w:iCs w:val="0"/>
      <w:sz w:val="30"/>
      <w:szCs w:val="32"/>
    </w:rPr>
  </w:style>
  <w:style w:type="paragraph" w:styleId="Titre2">
    <w:name w:val="heading 2"/>
    <w:basedOn w:val="Normal"/>
    <w:next w:val="Normal"/>
    <w:link w:val="Titre2Car"/>
    <w:uiPriority w:val="9"/>
    <w:unhideWhenUsed/>
    <w:qFormat/>
    <w:rsid w:val="00706454"/>
    <w:pPr>
      <w:keepNext/>
      <w:keepLines/>
      <w:spacing w:before="120" w:after="240"/>
      <w:outlineLvl w:val="1"/>
    </w:pPr>
    <w:rPr>
      <w:rFonts w:ascii="Futura Medium" w:eastAsiaTheme="majorEastAsia" w:hAnsi="Futura Medium" w:cstheme="majorBidi"/>
      <w:b/>
      <w:bCs/>
      <w:color w:val="007CC1"/>
      <w:sz w:val="3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0168"/>
    <w:pPr>
      <w:tabs>
        <w:tab w:val="center" w:pos="4536"/>
        <w:tab w:val="right" w:pos="9072"/>
      </w:tabs>
    </w:pPr>
  </w:style>
  <w:style w:type="character" w:customStyle="1" w:styleId="En-tteCar">
    <w:name w:val="En-tête Car"/>
    <w:basedOn w:val="Policepardfaut"/>
    <w:link w:val="En-tte"/>
    <w:uiPriority w:val="99"/>
    <w:rsid w:val="005D0168"/>
  </w:style>
  <w:style w:type="paragraph" w:styleId="Pieddepage">
    <w:name w:val="footer"/>
    <w:basedOn w:val="Normal"/>
    <w:link w:val="PieddepageCar"/>
    <w:uiPriority w:val="99"/>
    <w:unhideWhenUsed/>
    <w:rsid w:val="005D0168"/>
    <w:pPr>
      <w:tabs>
        <w:tab w:val="center" w:pos="4536"/>
        <w:tab w:val="right" w:pos="9072"/>
      </w:tabs>
    </w:pPr>
  </w:style>
  <w:style w:type="character" w:customStyle="1" w:styleId="PieddepageCar">
    <w:name w:val="Pied de page Car"/>
    <w:basedOn w:val="Policepardfaut"/>
    <w:link w:val="Pieddepage"/>
    <w:uiPriority w:val="99"/>
    <w:rsid w:val="005D0168"/>
  </w:style>
  <w:style w:type="character" w:styleId="Lienhypertexte">
    <w:name w:val="Hyperlink"/>
    <w:basedOn w:val="Policepardfaut"/>
    <w:uiPriority w:val="99"/>
    <w:unhideWhenUsed/>
    <w:rsid w:val="00152799"/>
    <w:rPr>
      <w:color w:val="0000FF"/>
      <w:u w:val="single"/>
    </w:rPr>
  </w:style>
  <w:style w:type="paragraph" w:styleId="Citationintense">
    <w:name w:val="Intense Quote"/>
    <w:basedOn w:val="Normal"/>
    <w:next w:val="Normal"/>
    <w:link w:val="CitationintenseCar"/>
    <w:uiPriority w:val="30"/>
    <w:qFormat/>
    <w:rsid w:val="00CB27DC"/>
    <w:pPr>
      <w:pBdr>
        <w:top w:val="single" w:sz="4" w:space="10" w:color="4472C4" w:themeColor="accent1"/>
        <w:bottom w:val="single" w:sz="4" w:space="10" w:color="4472C4" w:themeColor="accent1"/>
      </w:pBdr>
      <w:spacing w:before="360" w:after="360" w:line="259" w:lineRule="auto"/>
      <w:ind w:left="864" w:right="864"/>
      <w:jc w:val="center"/>
    </w:pPr>
    <w:rPr>
      <w:rFonts w:eastAsiaTheme="minorHAnsi"/>
      <w:b/>
      <w:bCs/>
      <w:i/>
      <w:iCs/>
      <w:color w:val="007CC1"/>
      <w:sz w:val="28"/>
      <w:szCs w:val="28"/>
      <w:lang w:eastAsia="en-US"/>
    </w:rPr>
  </w:style>
  <w:style w:type="character" w:customStyle="1" w:styleId="CitationintenseCar">
    <w:name w:val="Citation intense Car"/>
    <w:basedOn w:val="Policepardfaut"/>
    <w:link w:val="Citationintense"/>
    <w:uiPriority w:val="30"/>
    <w:rsid w:val="00CB27DC"/>
    <w:rPr>
      <w:b/>
      <w:bCs/>
      <w:i/>
      <w:iCs/>
      <w:color w:val="007CC1"/>
      <w:sz w:val="28"/>
      <w:szCs w:val="28"/>
    </w:rPr>
  </w:style>
  <w:style w:type="paragraph" w:styleId="Paragraphedeliste">
    <w:name w:val="List Paragraph"/>
    <w:basedOn w:val="Normal"/>
    <w:uiPriority w:val="34"/>
    <w:qFormat/>
    <w:rsid w:val="00407585"/>
    <w:pPr>
      <w:widowControl w:val="0"/>
      <w:ind w:left="496" w:hanging="360"/>
    </w:pPr>
    <w:rPr>
      <w:rFonts w:ascii="Arial" w:eastAsia="Arial" w:hAnsi="Arial" w:cs="Arial"/>
      <w:sz w:val="22"/>
      <w:szCs w:val="22"/>
    </w:rPr>
  </w:style>
  <w:style w:type="character" w:styleId="Marquedecommentaire">
    <w:name w:val="annotation reference"/>
    <w:basedOn w:val="Policepardfaut"/>
    <w:uiPriority w:val="99"/>
    <w:semiHidden/>
    <w:unhideWhenUsed/>
    <w:rsid w:val="00407585"/>
    <w:rPr>
      <w:sz w:val="16"/>
      <w:szCs w:val="16"/>
    </w:rPr>
  </w:style>
  <w:style w:type="paragraph" w:styleId="Commentaire">
    <w:name w:val="annotation text"/>
    <w:basedOn w:val="Normal"/>
    <w:link w:val="CommentaireCar"/>
    <w:uiPriority w:val="99"/>
    <w:unhideWhenUsed/>
    <w:rsid w:val="00407585"/>
    <w:pPr>
      <w:widowControl w:val="0"/>
    </w:pPr>
    <w:rPr>
      <w:rFonts w:ascii="Arial" w:eastAsia="Arial" w:hAnsi="Arial" w:cs="Arial"/>
      <w:sz w:val="20"/>
      <w:szCs w:val="20"/>
    </w:rPr>
  </w:style>
  <w:style w:type="character" w:customStyle="1" w:styleId="CommentaireCar">
    <w:name w:val="Commentaire Car"/>
    <w:basedOn w:val="Policepardfaut"/>
    <w:link w:val="Commentaire"/>
    <w:uiPriority w:val="99"/>
    <w:rsid w:val="00407585"/>
    <w:rPr>
      <w:rFonts w:ascii="Arial" w:eastAsia="Arial" w:hAnsi="Arial" w:cs="Arial"/>
      <w:sz w:val="20"/>
      <w:szCs w:val="20"/>
      <w:lang w:eastAsia="fr-FR"/>
    </w:rPr>
  </w:style>
  <w:style w:type="character" w:customStyle="1" w:styleId="Titre2Car">
    <w:name w:val="Titre 2 Car"/>
    <w:basedOn w:val="Policepardfaut"/>
    <w:link w:val="Titre2"/>
    <w:uiPriority w:val="9"/>
    <w:rsid w:val="00706454"/>
    <w:rPr>
      <w:rFonts w:ascii="Futura Medium" w:eastAsiaTheme="majorEastAsia" w:hAnsi="Futura Medium" w:cstheme="majorBidi"/>
      <w:b/>
      <w:bCs/>
      <w:color w:val="007CC1"/>
      <w:sz w:val="30"/>
      <w:szCs w:val="32"/>
      <w:lang w:eastAsia="fr-FR"/>
    </w:rPr>
  </w:style>
  <w:style w:type="character" w:customStyle="1" w:styleId="Titre1Car">
    <w:name w:val="Titre 1 Car"/>
    <w:basedOn w:val="Policepardfaut"/>
    <w:link w:val="Titre1"/>
    <w:uiPriority w:val="9"/>
    <w:rsid w:val="00A060FA"/>
    <w:rPr>
      <w:rFonts w:ascii="Futura Medium" w:hAnsi="Futura Medium"/>
      <w:color w:val="007CC1"/>
      <w:sz w:val="30"/>
      <w:szCs w:val="32"/>
    </w:rPr>
  </w:style>
  <w:style w:type="character" w:customStyle="1" w:styleId="CorpsdetexteCar">
    <w:name w:val="Corps de texte Car"/>
    <w:basedOn w:val="Policepardfaut"/>
    <w:link w:val="Corpsdetexte"/>
    <w:uiPriority w:val="1"/>
    <w:qFormat/>
    <w:rsid w:val="00706454"/>
    <w:rPr>
      <w:rFonts w:ascii="Calibri Light" w:eastAsia="Calibri" w:hAnsi="Calibri Light" w:cs="Calibri"/>
      <w:sz w:val="20"/>
    </w:rPr>
  </w:style>
  <w:style w:type="character" w:customStyle="1" w:styleId="LienInternet">
    <w:name w:val="Lien Internet"/>
    <w:basedOn w:val="Policepardfaut"/>
    <w:uiPriority w:val="99"/>
    <w:unhideWhenUsed/>
    <w:rsid w:val="00706454"/>
    <w:rPr>
      <w:color w:val="0563C1" w:themeColor="hyperlink"/>
      <w:u w:val="single"/>
    </w:rPr>
  </w:style>
  <w:style w:type="paragraph" w:styleId="Corpsdetexte">
    <w:name w:val="Body Text"/>
    <w:basedOn w:val="Normal"/>
    <w:link w:val="CorpsdetexteCar"/>
    <w:uiPriority w:val="1"/>
    <w:qFormat/>
    <w:rsid w:val="00706454"/>
    <w:pPr>
      <w:widowControl w:val="0"/>
      <w:spacing w:before="120" w:after="120"/>
      <w:contextualSpacing/>
      <w:jc w:val="both"/>
    </w:pPr>
    <w:rPr>
      <w:rFonts w:ascii="Calibri Light" w:eastAsia="Calibri" w:hAnsi="Calibri Light" w:cs="Calibri"/>
      <w:sz w:val="20"/>
      <w:szCs w:val="22"/>
      <w:lang w:eastAsia="en-US"/>
    </w:rPr>
  </w:style>
  <w:style w:type="character" w:customStyle="1" w:styleId="CorpsdetexteCar1">
    <w:name w:val="Corps de texte Car1"/>
    <w:basedOn w:val="Policepardfaut"/>
    <w:uiPriority w:val="99"/>
    <w:semiHidden/>
    <w:rsid w:val="00706454"/>
    <w:rPr>
      <w:rFonts w:eastAsiaTheme="minorEastAsia"/>
      <w:sz w:val="24"/>
      <w:szCs w:val="24"/>
      <w:lang w:eastAsia="fr-FR"/>
    </w:rPr>
  </w:style>
  <w:style w:type="paragraph" w:customStyle="1" w:styleId="Pieddepage-nomdudocument">
    <w:name w:val="Pied de page - nom du document"/>
    <w:basedOn w:val="Normal"/>
    <w:qFormat/>
    <w:rsid w:val="00706454"/>
    <w:rPr>
      <w:rFonts w:ascii="Calibri Light" w:eastAsiaTheme="minorHAnsi" w:hAnsi="Calibri Light" w:cs="Calibri Light"/>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475967">
      <w:bodyDiv w:val="1"/>
      <w:marLeft w:val="0"/>
      <w:marRight w:val="0"/>
      <w:marTop w:val="0"/>
      <w:marBottom w:val="0"/>
      <w:divBdr>
        <w:top w:val="none" w:sz="0" w:space="0" w:color="auto"/>
        <w:left w:val="none" w:sz="0" w:space="0" w:color="auto"/>
        <w:bottom w:val="none" w:sz="0" w:space="0" w:color="auto"/>
        <w:right w:val="none" w:sz="0" w:space="0" w:color="auto"/>
      </w:divBdr>
    </w:div>
    <w:div w:id="154390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venir.mobi/infrastructure-collect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venir.mobi/le-program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advenir.mobi/" TargetMode="External"/><Relationship Id="rId2" Type="http://schemas.openxmlformats.org/officeDocument/2006/relationships/hyperlink" Target="mailto:advenir@avere-france.or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advenir.mobi/" TargetMode="External"/><Relationship Id="rId2" Type="http://schemas.openxmlformats.org/officeDocument/2006/relationships/hyperlink" Target="mailto:advenir@avere-france.or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1F9F1FA2EB744D84C7ED229944AF08" ma:contentTypeVersion="18" ma:contentTypeDescription="Crée un document." ma:contentTypeScope="" ma:versionID="dad253466d75373d016badc1e4017315">
  <xsd:schema xmlns:xsd="http://www.w3.org/2001/XMLSchema" xmlns:xs="http://www.w3.org/2001/XMLSchema" xmlns:p="http://schemas.microsoft.com/office/2006/metadata/properties" xmlns:ns2="3499eb8c-55f0-4acb-8462-dc1898394d47" xmlns:ns3="294fe65f-c472-419c-bb5c-34435245a11a" targetNamespace="http://schemas.microsoft.com/office/2006/metadata/properties" ma:root="true" ma:fieldsID="30df639a06b43765b86374238790be25" ns2:_="" ns3:_="">
    <xsd:import namespace="3499eb8c-55f0-4acb-8462-dc1898394d47"/>
    <xsd:import namespace="294fe65f-c472-419c-bb5c-34435245a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9eb8c-55f0-4acb-8462-dc1898394d47"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fea3e98-cf49-41e2-8f46-469ecd7c463f}" ma:internalName="TaxCatchAll" ma:showField="CatchAllData" ma:web="3499eb8c-55f0-4acb-8462-dc1898394d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4fe65f-c472-419c-bb5c-34435245a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76c4d89-9a06-494b-94fc-b1fca67178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99eb8c-55f0-4acb-8462-dc1898394d47" xsi:nil="true"/>
    <lcf76f155ced4ddcb4097134ff3c332f xmlns="294fe65f-c472-419c-bb5c-34435245a1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0E22C-5A11-4425-8920-625AAE09D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9eb8c-55f0-4acb-8462-dc1898394d47"/>
    <ds:schemaRef ds:uri="294fe65f-c472-419c-bb5c-34435245a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8ADBA-B89A-4E31-AA43-F94C836118B0}">
  <ds:schemaRefs>
    <ds:schemaRef ds:uri="http://schemas.microsoft.com/sharepoint/v3/contenttype/forms"/>
  </ds:schemaRefs>
</ds:datastoreItem>
</file>

<file path=customXml/itemProps3.xml><?xml version="1.0" encoding="utf-8"?>
<ds:datastoreItem xmlns:ds="http://schemas.openxmlformats.org/officeDocument/2006/customXml" ds:itemID="{F36F7DAD-C2E5-484E-99B1-BF8138F85FE5}">
  <ds:schemaRefs>
    <ds:schemaRef ds:uri="http://schemas.microsoft.com/office/2006/metadata/properties"/>
    <ds:schemaRef ds:uri="http://schemas.microsoft.com/office/infopath/2007/PartnerControls"/>
    <ds:schemaRef ds:uri="3499eb8c-55f0-4acb-8462-dc1898394d47"/>
    <ds:schemaRef ds:uri="294fe65f-c472-419c-bb5c-34435245a11a"/>
  </ds:schemaRefs>
</ds:datastoreItem>
</file>

<file path=customXml/itemProps4.xml><?xml version="1.0" encoding="utf-8"?>
<ds:datastoreItem xmlns:ds="http://schemas.openxmlformats.org/officeDocument/2006/customXml" ds:itemID="{A1A9508B-2096-4D59-8619-C32EB890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1015</Words>
  <Characters>5585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PAWELEC</dc:creator>
  <cp:keywords/>
  <dc:description/>
  <cp:lastModifiedBy>Maeva BEMBA</cp:lastModifiedBy>
  <cp:revision>2</cp:revision>
  <dcterms:created xsi:type="dcterms:W3CDTF">2025-02-17T09:20:00Z</dcterms:created>
  <dcterms:modified xsi:type="dcterms:W3CDTF">2025-02-17T09:20:00Z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0x010100631F9F1FA2EB744D84C7ED229944AF08</vt:lpwstr>
  </property>
  <property fmtid="{D5CDD505-2E9C-101B-9397-08002B2CF9AE}" pid="3" name="MediaServiceImageTags">
    <vt:lpwstr/>
  </property>
</Properties>
</file>